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jc w:val="center"/>
        <w:rPr>
          <w:b w:val="1"/>
          <w:bCs w:val="1"/>
        </w:rPr>
      </w:pPr>
      <w:bookmarkStart w:name="_Hlk197164201" w:id="0"/>
      <w:r>
        <w:rPr>
          <w:b w:val="1"/>
          <w:bCs w:val="1"/>
          <w:rtl w:val="0"/>
          <w:lang w:val="en-US"/>
        </w:rPr>
        <w:t>THE FULL TITLE OF YOUR PAPER</w:t>
      </w:r>
    </w:p>
    <w:p>
      <w:pPr>
        <w:pStyle w:val="Normal.0"/>
        <w:spacing w:before="240"/>
        <w:jc w:val="center"/>
        <w:rPr>
          <w:vertAlign w:val="superscript"/>
        </w:rPr>
      </w:pPr>
      <w:bookmarkEnd w:id="0"/>
      <w:r>
        <w:rPr>
          <w:b w:val="1"/>
          <w:bCs w:val="1"/>
          <w:rtl w:val="0"/>
          <w:lang w:val="en-US"/>
        </w:rPr>
        <w:t>First-Author-Name</w:t>
      </w:r>
      <w:r>
        <w:rPr>
          <w:vertAlign w:val="superscript"/>
          <w:rtl w:val="0"/>
          <w:lang w:val="en-US"/>
        </w:rPr>
        <w:t>1</w:t>
      </w:r>
      <w:r>
        <w:rPr>
          <w:rFonts w:ascii="Cambria Math" w:cs="Cambria Math" w:hAnsi="Cambria Math" w:eastAsia="Cambria Math"/>
          <w:vertAlign w:val="superscript"/>
          <w:rtl w:val="0"/>
          <w:lang w:val="en-US"/>
        </w:rPr>
        <w:t>∗</w:t>
      </w:r>
      <w:r>
        <w:rPr>
          <w:rtl w:val="0"/>
          <w:lang w:val="en-US"/>
        </w:rPr>
        <w:t xml:space="preserve"> and </w:t>
      </w:r>
      <w:r>
        <w:rPr>
          <w:b w:val="1"/>
          <w:bCs w:val="1"/>
          <w:rtl w:val="0"/>
          <w:lang w:val="en-US"/>
        </w:rPr>
        <w:t>Second-Author-Name</w:t>
      </w:r>
      <w:r>
        <w:rPr>
          <w:vertAlign w:val="superscript"/>
          <w:rtl w:val="0"/>
          <w:lang w:val="en-US"/>
        </w:rPr>
        <w:t>2</w:t>
      </w:r>
    </w:p>
    <w:p>
      <w:pPr>
        <w:pStyle w:val="Normal (Web)"/>
        <w:spacing w:before="0" w:after="0"/>
        <w:jc w:val="center"/>
        <w:rPr>
          <w:sz w:val="22"/>
          <w:szCs w:val="22"/>
        </w:rPr>
      </w:pPr>
      <w:r>
        <w:rPr>
          <w:sz w:val="22"/>
          <w:szCs w:val="22"/>
          <w:vertAlign w:val="superscript"/>
          <w:rtl w:val="0"/>
          <w:lang w:val="en-US"/>
        </w:rPr>
        <w:t>1</w:t>
      </w:r>
      <w:r>
        <w:rPr>
          <w:sz w:val="22"/>
          <w:szCs w:val="22"/>
          <w:rtl w:val="0"/>
          <w:lang w:val="en-US"/>
        </w:rPr>
        <w:t xml:space="preserve">Acharya Nagarjuna University, ORCID: 0000-0003-1111-2222, </w:t>
      </w:r>
      <w:r>
        <w:rPr>
          <w:rStyle w:val="Hyperlink.0"/>
        </w:rPr>
        <w:fldChar w:fldCharType="begin" w:fldLock="0"/>
      </w:r>
      <w:r>
        <w:rPr>
          <w:rStyle w:val="Hyperlink.0"/>
        </w:rPr>
        <w:instrText xml:space="preserve"> HYPERLINK "mailto:jilanisyed1992@gmail.com"</w:instrText>
      </w:r>
      <w:r>
        <w:rPr>
          <w:rStyle w:val="Hyperlink.0"/>
        </w:rPr>
        <w:fldChar w:fldCharType="separate" w:fldLock="0"/>
      </w:r>
      <w:r>
        <w:rPr>
          <w:rStyle w:val="Hyperlink.0"/>
          <w:rtl w:val="0"/>
          <w:lang w:val="en-US"/>
        </w:rPr>
        <w:t>…</w:t>
      </w:r>
      <w:r>
        <w:rPr>
          <w:rStyle w:val="Hyperlink.0"/>
          <w:rtl w:val="0"/>
          <w:lang w:val="en-US"/>
        </w:rPr>
        <w:t>@---</w:t>
      </w:r>
      <w:r>
        <w:rPr/>
        <w:fldChar w:fldCharType="end" w:fldLock="0"/>
      </w:r>
    </w:p>
    <w:p>
      <w:pPr>
        <w:pStyle w:val="Normal (Web)"/>
        <w:spacing w:before="0" w:after="0"/>
        <w:jc w:val="center"/>
        <w:rPr>
          <w:sz w:val="22"/>
          <w:szCs w:val="22"/>
        </w:rPr>
      </w:pPr>
      <w:r>
        <w:rPr>
          <w:sz w:val="22"/>
          <w:szCs w:val="22"/>
          <w:vertAlign w:val="superscript"/>
          <w:rtl w:val="0"/>
          <w:lang w:val="en-US"/>
        </w:rPr>
        <w:t>2</w:t>
      </w:r>
      <w:r>
        <w:rPr>
          <w:sz w:val="22"/>
          <w:szCs w:val="22"/>
          <w:rtl w:val="0"/>
          <w:lang w:val="en-US"/>
        </w:rPr>
        <w:t xml:space="preserve">The University of Dodoma, ORCID: 0000-0002-3333-4444, </w:t>
      </w:r>
      <w:r>
        <w:rPr>
          <w:rStyle w:val="Hyperlink.0"/>
        </w:rPr>
        <w:fldChar w:fldCharType="begin" w:fldLock="0"/>
      </w:r>
      <w:r>
        <w:rPr>
          <w:rStyle w:val="Hyperlink.0"/>
        </w:rPr>
        <w:instrText xml:space="preserve"> HYPERLINK "mailto:gaddesrao@gmail.com"</w:instrText>
      </w:r>
      <w:r>
        <w:rPr>
          <w:rStyle w:val="Hyperlink.0"/>
        </w:rPr>
        <w:fldChar w:fldCharType="separate" w:fldLock="0"/>
      </w:r>
      <w:r>
        <w:rPr>
          <w:rStyle w:val="Hyperlink.0"/>
          <w:rtl w:val="0"/>
          <w:lang w:val="en-US"/>
        </w:rPr>
        <w:t>´´´´</w:t>
      </w:r>
      <w:r>
        <w:rPr>
          <w:rStyle w:val="Hyperlink.0"/>
          <w:rtl w:val="0"/>
          <w:lang w:val="en-US"/>
        </w:rPr>
        <w:t>@---</w:t>
      </w:r>
      <w:r>
        <w:rPr/>
        <w:fldChar w:fldCharType="end" w:fldLock="0"/>
      </w:r>
    </w:p>
    <w:p>
      <w:pPr>
        <w:pStyle w:val="Normal.0"/>
        <w:jc w:val="center"/>
        <w:rPr>
          <w:outline w:val="0"/>
          <w:color w:val="555555"/>
          <w:sz w:val="22"/>
          <w:szCs w:val="22"/>
          <w:u w:color="555555"/>
          <w:shd w:val="clear" w:color="auto" w:fill="ffffff"/>
          <w14:textFill>
            <w14:solidFill>
              <w14:srgbClr w14:val="555555"/>
            </w14:solidFill>
          </w14:textFill>
        </w:rPr>
      </w:pPr>
      <w:r>
        <w:rPr>
          <w:outline w:val="0"/>
          <w:color w:val="000000"/>
          <w:sz w:val="22"/>
          <w:szCs w:val="22"/>
          <w:u w:color="000000"/>
          <w:shd w:val="clear" w:color="auto" w:fill="ffffff"/>
          <w:rtl w:val="0"/>
          <w:lang w:val="en-US"/>
          <w14:textFill>
            <w14:solidFill>
              <w14:srgbClr w14:val="000000"/>
            </w14:solidFill>
          </w14:textFill>
        </w:rPr>
        <w:t>*Corresponding author</w:t>
      </w:r>
    </w:p>
    <w:p>
      <w:pPr>
        <w:pStyle w:val="Normal.0"/>
        <w:jc w:val="both"/>
        <w:rPr>
          <w:b w:val="1"/>
          <w:bCs w:val="1"/>
          <w:sz w:val="22"/>
          <w:szCs w:val="22"/>
        </w:rPr>
      </w:pPr>
    </w:p>
    <w:p>
      <w:pPr>
        <w:pStyle w:val="Normal.0"/>
        <w:spacing w:after="200"/>
        <w:jc w:val="both"/>
        <w:rPr>
          <w:sz w:val="20"/>
          <w:szCs w:val="20"/>
        </w:rPr>
      </w:pPr>
      <w:r>
        <w:rPr>
          <w:b w:val="1"/>
          <w:bCs w:val="1"/>
          <w:sz w:val="22"/>
          <w:szCs w:val="22"/>
          <w:rtl w:val="0"/>
          <w:lang w:val="en-US"/>
        </w:rPr>
        <w:t>ABSTRACT</w:t>
      </w:r>
      <w:r>
        <w:rPr>
          <w:sz w:val="22"/>
          <w:szCs w:val="22"/>
          <w:rtl w:val="0"/>
          <w:lang w:val="en-US"/>
        </w:rPr>
        <w:t xml:space="preserve">. This </w:t>
      </w:r>
      <w:r>
        <w:rPr>
          <w:sz w:val="20"/>
          <w:szCs w:val="20"/>
          <w:rtl w:val="0"/>
          <w:lang w:val="en-US"/>
        </w:rPr>
        <w:t>Abstract concisely summarizes the key findings of the paper. It consists of a single paragraph containing no more than 150 words. The Abstract does not have a section number.</w:t>
      </w:r>
      <w:r>
        <w:rPr>
          <w:rtl w:val="0"/>
          <w:lang w:val="en-US"/>
        </w:rPr>
        <w:t xml:space="preserve"> </w:t>
      </w:r>
      <w:r>
        <w:rPr>
          <w:sz w:val="20"/>
          <w:szCs w:val="20"/>
          <w:rtl w:val="0"/>
          <w:lang w:val="en-US"/>
        </w:rPr>
        <w:t>After the abstract three keywords must be provided.</w:t>
      </w:r>
    </w:p>
    <w:p>
      <w:pPr>
        <w:pStyle w:val="Normal.0"/>
        <w:spacing w:after="200"/>
        <w:jc w:val="both"/>
        <w:rPr>
          <w:sz w:val="20"/>
          <w:szCs w:val="20"/>
        </w:rPr>
      </w:pPr>
      <w:r>
        <w:rPr>
          <w:b w:val="1"/>
          <w:bCs w:val="1"/>
          <w:sz w:val="22"/>
          <w:szCs w:val="22"/>
          <w:rtl w:val="0"/>
          <w:lang w:val="en-US"/>
        </w:rPr>
        <w:t>Keywords</w:t>
      </w:r>
      <w:r>
        <w:rPr>
          <w:sz w:val="22"/>
          <w:szCs w:val="22"/>
          <w:rtl w:val="0"/>
          <w:lang w:val="en-US"/>
        </w:rPr>
        <w:t>:</w:t>
      </w:r>
      <w:r>
        <w:rPr>
          <w:sz w:val="20"/>
          <w:szCs w:val="20"/>
          <w:rtl w:val="0"/>
          <w:lang w:val="en-US"/>
        </w:rPr>
        <w:t xml:space="preserve"> First. Second. Third.</w:t>
      </w:r>
    </w:p>
    <w:p>
      <w:pPr>
        <w:pStyle w:val="Normal.0"/>
        <w:numPr>
          <w:ilvl w:val="0"/>
          <w:numId w:val="2"/>
        </w:numPr>
        <w:bidi w:val="0"/>
        <w:spacing w:before="100" w:after="100"/>
        <w:ind w:right="0"/>
        <w:jc w:val="both"/>
        <w:rPr>
          <w:sz w:val="22"/>
          <w:szCs w:val="22"/>
          <w:rtl w:val="0"/>
          <w:lang w:val="en-US"/>
        </w:rPr>
      </w:pPr>
      <w:r>
        <w:rPr>
          <w:b w:val="1"/>
          <w:bCs w:val="1"/>
          <w:sz w:val="22"/>
          <w:szCs w:val="22"/>
          <w:rtl w:val="0"/>
          <w:lang w:val="en-US"/>
        </w:rPr>
        <w:t xml:space="preserve">Introduction </w:t>
      </w:r>
    </w:p>
    <w:p>
      <w:pPr>
        <w:pStyle w:val="Normal.0"/>
        <w:jc w:val="both"/>
        <w:rPr>
          <w:sz w:val="22"/>
          <w:szCs w:val="22"/>
        </w:rPr>
      </w:pPr>
      <w:r>
        <w:rPr>
          <w:sz w:val="22"/>
          <w:szCs w:val="22"/>
          <w:rtl w:val="0"/>
          <w:lang w:val="en-US"/>
        </w:rPr>
        <w:t>Pesquisa Operacional publishes theoretical and applied papers of any OR sub-areas, as well as surveys on topics of interest and papers on the history or methodology of OR. Submitted papers must be written in English, must be original, and must not have been accepted for publication or published, nor be in the process of evaluation for publication by any other periodical. In addition to originality and relevance, it will be taken into account the quality of presentation (clarity, style and organization of the text) and the adequacy of the text to the interests of the readers of the journal. Submitted papers will be evaluated by at least two referees.</w:t>
      </w:r>
    </w:p>
    <w:p>
      <w:pPr>
        <w:pStyle w:val="Normal.0"/>
        <w:spacing w:before="240"/>
        <w:jc w:val="both"/>
        <w:rPr>
          <w:sz w:val="22"/>
          <w:szCs w:val="22"/>
        </w:rPr>
      </w:pPr>
      <w:r>
        <w:rPr>
          <w:sz w:val="22"/>
          <w:szCs w:val="22"/>
          <w:rtl w:val="0"/>
          <w:lang w:val="en-US"/>
        </w:rPr>
        <w:t>The equations must be numbered:</w:t>
      </w:r>
    </w:p>
    <w:p>
      <w:pPr>
        <w:pStyle w:val="Normal.0"/>
        <w:jc w:val="both"/>
        <w:rPr>
          <w:sz w:val="22"/>
          <w:szCs w:val="22"/>
        </w:rPr>
      </w:pPr>
      <w:r>
        <w:rPr>
          <w:sz w:val="22"/>
          <w:szCs w:val="22"/>
          <w:rtl w:val="0"/>
          <w:lang w:val="en-US"/>
        </w:rPr>
        <w:t xml:space="preserve">  </w:t>
      </w:r>
    </w:p>
    <w:p>
      <w:pPr>
        <w:pStyle w:val="Normal.0"/>
        <w:jc w:val="both"/>
        <w:rPr>
          <w:sz w:val="22"/>
          <w:szCs w:val="22"/>
        </w:rPr>
      </w:pPr>
      <w:r>
        <w:rPr>
          <w:sz w:val="22"/>
          <w:szCs w:val="22"/>
        </w:rPr>
        <w:drawing xmlns:a="http://schemas.openxmlformats.org/drawingml/2006/main">
          <wp:inline distT="0" distB="0" distL="0" distR="0">
            <wp:extent cx="4216400" cy="876300"/>
            <wp:effectExtent l="0" t="0" r="0" b="0"/>
            <wp:docPr id="1073741825" name="officeArt object" descr="image.pdf"/>
            <wp:cNvGraphicFramePr/>
            <a:graphic xmlns:a="http://schemas.openxmlformats.org/drawingml/2006/main">
              <a:graphicData uri="http://schemas.openxmlformats.org/drawingml/2006/picture">
                <pic:pic xmlns:pic="http://schemas.openxmlformats.org/drawingml/2006/picture">
                  <pic:nvPicPr>
                    <pic:cNvPr id="1073741825" name="image.pdf" descr="image.pdf"/>
                    <pic:cNvPicPr>
                      <a:picLocks noChangeAspect="1"/>
                    </pic:cNvPicPr>
                  </pic:nvPicPr>
                  <pic:blipFill>
                    <a:blip r:embed="rId4">
                      <a:extLst/>
                    </a:blip>
                    <a:stretch>
                      <a:fillRect/>
                    </a:stretch>
                  </pic:blipFill>
                  <pic:spPr>
                    <a:xfrm>
                      <a:off x="0" y="0"/>
                      <a:ext cx="4216400" cy="876300"/>
                    </a:xfrm>
                    <a:prstGeom prst="rect">
                      <a:avLst/>
                    </a:prstGeom>
                    <a:ln w="12700" cap="flat">
                      <a:noFill/>
                      <a:miter lim="400000"/>
                    </a:ln>
                    <a:effectLst/>
                  </pic:spPr>
                </pic:pic>
              </a:graphicData>
            </a:graphic>
          </wp:inline>
        </w:drawing>
      </w:r>
      <w:r>
        <w:rPr>
          <w:sz w:val="22"/>
          <w:szCs w:val="22"/>
          <w:rtl w:val="0"/>
          <w:lang w:val="en-US"/>
        </w:rPr>
        <w:t xml:space="preserve">                            (1)</w:t>
      </w:r>
    </w:p>
    <w:p>
      <w:pPr>
        <w:pStyle w:val="Normal.0"/>
        <w:spacing w:before="240"/>
        <w:jc w:val="both"/>
        <w:rPr>
          <w:sz w:val="22"/>
          <w:szCs w:val="22"/>
        </w:rPr>
      </w:pPr>
      <w:r>
        <w:rPr>
          <w:sz w:val="22"/>
          <w:szCs w:val="22"/>
          <w:rtl w:val="0"/>
          <w:lang w:val="en-US"/>
        </w:rPr>
        <w:t>The figures must be original or reproduced with full copyrights observation:</w:t>
      </w:r>
    </w:p>
    <w:p>
      <w:pPr>
        <w:pStyle w:val="Normal.0"/>
        <w:jc w:val="both"/>
        <w:rPr>
          <w:sz w:val="22"/>
          <w:szCs w:val="22"/>
        </w:rPr>
      </w:pPr>
      <w:r>
        <w:rPr>
          <w:sz w:val="22"/>
          <w:szCs w:val="22"/>
        </w:rPr>
        <w:drawing xmlns:a="http://schemas.openxmlformats.org/drawingml/2006/main">
          <wp:inline distT="0" distB="0" distL="0" distR="0">
            <wp:extent cx="5362357" cy="1073963"/>
            <wp:effectExtent l="0" t="0" r="0" b="0"/>
            <wp:docPr id="1073741826" name="officeArt object" descr="image.tif"/>
            <wp:cNvGraphicFramePr/>
            <a:graphic xmlns:a="http://schemas.openxmlformats.org/drawingml/2006/main">
              <a:graphicData uri="http://schemas.openxmlformats.org/drawingml/2006/picture">
                <pic:pic xmlns:pic="http://schemas.openxmlformats.org/drawingml/2006/picture">
                  <pic:nvPicPr>
                    <pic:cNvPr id="1073741826" name="image.tif" descr="image.tif"/>
                    <pic:cNvPicPr>
                      <a:picLocks noChangeAspect="1"/>
                    </pic:cNvPicPr>
                  </pic:nvPicPr>
                  <pic:blipFill>
                    <a:blip r:embed="rId5">
                      <a:extLst/>
                    </a:blip>
                    <a:stretch>
                      <a:fillRect/>
                    </a:stretch>
                  </pic:blipFill>
                  <pic:spPr>
                    <a:xfrm>
                      <a:off x="0" y="0"/>
                      <a:ext cx="5362357" cy="1073963"/>
                    </a:xfrm>
                    <a:prstGeom prst="rect">
                      <a:avLst/>
                    </a:prstGeom>
                    <a:ln w="12700" cap="flat">
                      <a:noFill/>
                      <a:miter lim="400000"/>
                    </a:ln>
                    <a:effectLst/>
                  </pic:spPr>
                </pic:pic>
              </a:graphicData>
            </a:graphic>
          </wp:inline>
        </w:drawing>
      </w:r>
      <w:r>
        <w:rPr>
          <w:sz w:val="22"/>
          <w:szCs w:val="22"/>
          <w:rtl w:val="0"/>
          <w:lang w:val="en-US"/>
        </w:rPr>
        <w:t xml:space="preserve"> </w:t>
      </w:r>
    </w:p>
    <w:p>
      <w:pPr>
        <w:pStyle w:val="Normal.0"/>
        <w:jc w:val="center"/>
        <w:rPr>
          <w:sz w:val="22"/>
          <w:szCs w:val="22"/>
        </w:rPr>
      </w:pPr>
      <w:r>
        <w:rPr>
          <w:sz w:val="22"/>
          <w:szCs w:val="22"/>
          <w:rtl w:val="0"/>
          <w:lang w:val="en-US"/>
        </w:rPr>
        <w:t>Figure 1. Identify here the figure source and authorization if not created by you.</w:t>
      </w:r>
    </w:p>
    <w:p>
      <w:pPr>
        <w:pStyle w:val="Normal.0"/>
        <w:jc w:val="both"/>
        <w:rPr>
          <w:sz w:val="22"/>
          <w:szCs w:val="22"/>
        </w:rPr>
      </w:pPr>
    </w:p>
    <w:p>
      <w:pPr>
        <w:pStyle w:val="Normal.0"/>
        <w:spacing w:before="240"/>
        <w:jc w:val="both"/>
        <w:rPr>
          <w:sz w:val="22"/>
          <w:szCs w:val="22"/>
        </w:rPr>
      </w:pPr>
      <w:r>
        <w:rPr>
          <w:sz w:val="22"/>
          <w:szCs w:val="22"/>
          <w:rtl w:val="0"/>
          <w:lang w:val="en-US"/>
        </w:rPr>
        <w:t>Tables may be inserted to clarify specified points of the text. Each table must be preceded by its caption like Table 1.</w:t>
      </w:r>
    </w:p>
    <w:p>
      <w:pPr>
        <w:pStyle w:val="Normal.0"/>
        <w:spacing w:before="240"/>
        <w:jc w:val="center"/>
        <w:rPr>
          <w:sz w:val="22"/>
          <w:szCs w:val="22"/>
        </w:rPr>
      </w:pPr>
      <w:r>
        <w:rPr>
          <w:sz w:val="22"/>
          <w:szCs w:val="22"/>
          <w:rtl w:val="0"/>
          <w:lang w:val="en-US"/>
        </w:rPr>
        <w:t>Table 1: Insert a caption here.</w:t>
      </w:r>
    </w:p>
    <w:tbl>
      <w:tblPr>
        <w:tblW w:w="37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6"/>
        <w:gridCol w:w="736"/>
        <w:gridCol w:w="1568"/>
        <w:gridCol w:w="918"/>
      </w:tblGrid>
      <w:tr>
        <w:tblPrEx>
          <w:shd w:val="clear" w:color="auto" w:fill="ced7e7"/>
        </w:tblPrEx>
        <w:trPr>
          <w:trHeight w:val="362" w:hRule="atLeast"/>
        </w:trPr>
        <w:tc>
          <w:tcPr>
            <w:tcW w:type="dxa" w:w="56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0"/>
              <w:jc w:val="center"/>
            </w:pPr>
            <w:r>
              <w:rPr>
                <w:sz w:val="24"/>
                <w:szCs w:val="24"/>
              </w:rPr>
              <w:drawing xmlns:a="http://schemas.openxmlformats.org/drawingml/2006/main">
                <wp:inline distT="0" distB="0" distL="0" distR="0">
                  <wp:extent cx="152400" cy="190500"/>
                  <wp:effectExtent l="0" t="0" r="0" b="0"/>
                  <wp:docPr id="1073741827" name="officeArt object" descr="image.pdf"/>
                  <wp:cNvGraphicFramePr/>
                  <a:graphic xmlns:a="http://schemas.openxmlformats.org/drawingml/2006/main">
                    <a:graphicData uri="http://schemas.openxmlformats.org/drawingml/2006/picture">
                      <pic:pic xmlns:pic="http://schemas.openxmlformats.org/drawingml/2006/picture">
                        <pic:nvPicPr>
                          <pic:cNvPr id="1073741827" name="image.pdf" descr="image.pdf"/>
                          <pic:cNvPicPr>
                            <a:picLocks noChangeAspect="1"/>
                          </pic:cNvPicPr>
                        </pic:nvPicPr>
                        <pic:blipFill>
                          <a:blip r:embed="rId6">
                            <a:extLst/>
                          </a:blip>
                          <a:stretch>
                            <a:fillRect/>
                          </a:stretch>
                        </pic:blipFill>
                        <pic:spPr>
                          <a:xfrm>
                            <a:off x="0" y="0"/>
                            <a:ext cx="152400" cy="190500"/>
                          </a:xfrm>
                          <a:prstGeom prst="rect">
                            <a:avLst/>
                          </a:prstGeom>
                          <a:ln w="12700" cap="flat">
                            <a:noFill/>
                            <a:miter lim="400000"/>
                          </a:ln>
                          <a:effectLst/>
                        </pic:spPr>
                      </pic:pic>
                    </a:graphicData>
                  </a:graphic>
                </wp:inline>
              </w:drawing>
            </w:r>
          </w:p>
        </w:tc>
        <w:tc>
          <w:tcPr>
            <w:tcW w:type="dxa" w:w="73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sz w:val="20"/>
                <w:szCs w:val="20"/>
                <w:shd w:val="nil" w:color="auto" w:fill="auto"/>
                <w:lang w:val="en-US"/>
              </w:rPr>
            </w:pPr>
          </w:p>
          <w:p>
            <w:pPr>
              <w:pStyle w:val="Normal.0"/>
              <w:jc w:val="center"/>
              <w:rPr>
                <w:sz w:val="20"/>
                <w:szCs w:val="20"/>
                <w:shd w:val="nil" w:color="auto" w:fill="auto"/>
                <w:lang w:val="en-US"/>
              </w:rPr>
            </w:pPr>
          </w:p>
          <w:p>
            <w:pPr>
              <w:pStyle w:val="Normal.0"/>
              <w:bidi w:val="0"/>
              <w:ind w:left="0" w:right="0" w:firstLine="0"/>
              <w:jc w:val="center"/>
              <w:rPr>
                <w:rtl w:val="0"/>
              </w:rPr>
            </w:pPr>
            <w:r>
              <w:rPr>
                <w:sz w:val="24"/>
                <w:szCs w:val="24"/>
                <w:shd w:val="nil" w:color="auto" w:fill="auto"/>
                <w:lang w:val="en-US"/>
              </w:rPr>
              <w:drawing xmlns:a="http://schemas.openxmlformats.org/drawingml/2006/main">
                <wp:inline distT="0" distB="0" distL="0" distR="0">
                  <wp:extent cx="330200" cy="246368"/>
                  <wp:effectExtent l="0" t="0" r="0" b="0"/>
                  <wp:docPr id="1073741828" name="officeArt object" descr="image.pdf"/>
                  <wp:cNvGraphicFramePr/>
                  <a:graphic xmlns:a="http://schemas.openxmlformats.org/drawingml/2006/main">
                    <a:graphicData uri="http://schemas.openxmlformats.org/drawingml/2006/picture">
                      <pic:pic xmlns:pic="http://schemas.openxmlformats.org/drawingml/2006/picture">
                        <pic:nvPicPr>
                          <pic:cNvPr id="1073741828" name="image.pdf" descr="image.pdf"/>
                          <pic:cNvPicPr>
                            <a:picLocks noChangeAspect="1"/>
                          </pic:cNvPicPr>
                        </pic:nvPicPr>
                        <pic:blipFill>
                          <a:blip r:embed="rId7">
                            <a:extLst/>
                          </a:blip>
                          <a:stretch>
                            <a:fillRect/>
                          </a:stretch>
                        </pic:blipFill>
                        <pic:spPr>
                          <a:xfrm>
                            <a:off x="0" y="0"/>
                            <a:ext cx="330200" cy="246368"/>
                          </a:xfrm>
                          <a:prstGeom prst="rect">
                            <a:avLst/>
                          </a:prstGeom>
                          <a:ln w="12700" cap="flat">
                            <a:noFill/>
                            <a:miter lim="400000"/>
                          </a:ln>
                          <a:effectLst/>
                        </pic:spPr>
                      </pic:pic>
                    </a:graphicData>
                  </a:graphic>
                </wp:inline>
              </w:drawing>
            </w:r>
          </w:p>
        </w:tc>
        <w:tc>
          <w:tcPr>
            <w:tcW w:type="dxa" w:w="248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4"/>
                <w:szCs w:val="24"/>
              </w:rPr>
              <w:drawing xmlns:a="http://schemas.openxmlformats.org/drawingml/2006/main">
                <wp:inline distT="0" distB="0" distL="0" distR="0">
                  <wp:extent cx="127000" cy="165100"/>
                  <wp:effectExtent l="0" t="0" r="0" b="0"/>
                  <wp:docPr id="1073741829" name="officeArt object" descr="image.pdf"/>
                  <wp:cNvGraphicFramePr/>
                  <a:graphic xmlns:a="http://schemas.openxmlformats.org/drawingml/2006/main">
                    <a:graphicData uri="http://schemas.openxmlformats.org/drawingml/2006/picture">
                      <pic:pic xmlns:pic="http://schemas.openxmlformats.org/drawingml/2006/picture">
                        <pic:nvPicPr>
                          <pic:cNvPr id="1073741829" name="image.pdf" descr="image.pdf"/>
                          <pic:cNvPicPr>
                            <a:picLocks noChangeAspect="1"/>
                          </pic:cNvPicPr>
                        </pic:nvPicPr>
                        <pic:blipFill>
                          <a:blip r:embed="rId8">
                            <a:extLst/>
                          </a:blip>
                          <a:stretch>
                            <a:fillRect/>
                          </a:stretch>
                        </pic:blipFill>
                        <pic:spPr>
                          <a:xfrm>
                            <a:off x="0" y="0"/>
                            <a:ext cx="127000" cy="165100"/>
                          </a:xfrm>
                          <a:prstGeom prst="rect">
                            <a:avLst/>
                          </a:prstGeom>
                          <a:ln w="12700" cap="flat">
                            <a:noFill/>
                            <a:miter lim="400000"/>
                          </a:ln>
                          <a:effectLst/>
                        </pic:spPr>
                      </pic:pic>
                    </a:graphicData>
                  </a:graphic>
                </wp:inline>
              </w:drawing>
            </w:r>
            <w:r>
              <w:rPr>
                <w:spacing w:val="10"/>
                <w:position w:val="4"/>
                <w:sz w:val="20"/>
                <w:szCs w:val="20"/>
                <w:shd w:val="nil" w:color="auto" w:fill="auto"/>
                <w:rtl w:val="0"/>
                <w:lang w:val="en-US"/>
              </w:rPr>
              <w:t xml:space="preserve">=0.5 and </w:t>
            </w:r>
            <w:r>
              <w:rPr>
                <w:spacing w:val="10"/>
                <w:position w:val="4"/>
                <w:sz w:val="20"/>
                <w:szCs w:val="20"/>
                <w:shd w:val="nil" w:color="auto" w:fill="auto"/>
                <w:lang w:val="en-US"/>
              </w:rPr>
              <w:drawing xmlns:a="http://schemas.openxmlformats.org/drawingml/2006/main">
                <wp:inline distT="0" distB="0" distL="0" distR="0">
                  <wp:extent cx="127000" cy="165100"/>
                  <wp:effectExtent l="0" t="0" r="0" b="0"/>
                  <wp:docPr id="1073741830" name="officeArt object" descr="image.pdf"/>
                  <wp:cNvGraphicFramePr/>
                  <a:graphic xmlns:a="http://schemas.openxmlformats.org/drawingml/2006/main">
                    <a:graphicData uri="http://schemas.openxmlformats.org/drawingml/2006/picture">
                      <pic:pic xmlns:pic="http://schemas.openxmlformats.org/drawingml/2006/picture">
                        <pic:nvPicPr>
                          <pic:cNvPr id="1073741830" name="image.pdf" descr="image.pdf"/>
                          <pic:cNvPicPr>
                            <a:picLocks noChangeAspect="1"/>
                          </pic:cNvPicPr>
                        </pic:nvPicPr>
                        <pic:blipFill>
                          <a:blip r:embed="rId9">
                            <a:extLst/>
                          </a:blip>
                          <a:stretch>
                            <a:fillRect/>
                          </a:stretch>
                        </pic:blipFill>
                        <pic:spPr>
                          <a:xfrm>
                            <a:off x="0" y="0"/>
                            <a:ext cx="127000" cy="165100"/>
                          </a:xfrm>
                          <a:prstGeom prst="rect">
                            <a:avLst/>
                          </a:prstGeom>
                          <a:ln w="12700" cap="flat">
                            <a:noFill/>
                            <a:miter lim="400000"/>
                          </a:ln>
                          <a:effectLst/>
                        </pic:spPr>
                      </pic:pic>
                    </a:graphicData>
                  </a:graphic>
                </wp:inline>
              </w:drawing>
            </w:r>
            <w:r>
              <w:rPr>
                <w:spacing w:val="10"/>
                <w:position w:val="4"/>
                <w:sz w:val="20"/>
                <w:szCs w:val="20"/>
                <w:shd w:val="nil" w:color="auto" w:fill="auto"/>
                <w:rtl w:val="0"/>
                <w:lang w:val="en-US"/>
              </w:rPr>
              <w:t>=1.0</w:t>
            </w:r>
          </w:p>
        </w:tc>
      </w:tr>
      <w:tr>
        <w:tblPrEx>
          <w:shd w:val="clear" w:color="auto" w:fill="ced7e7"/>
        </w:tblPrEx>
        <w:trPr>
          <w:trHeight w:val="422" w:hRule="atLeast"/>
        </w:trPr>
        <w:tc>
          <w:tcPr>
            <w:tcW w:type="dxa" w:w="56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73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i w:val="0"/>
                <w:iCs w:val="0"/>
                <w:sz w:val="20"/>
                <w:szCs w:val="20"/>
                <w:shd w:val="nil" w:color="auto" w:fill="auto"/>
                <w:rtl w:val="0"/>
                <w:lang w:val="en-US"/>
              </w:rPr>
              <w:t>Proposed (ASN)</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position w:val="-20"/>
                <w:sz w:val="20"/>
                <w:szCs w:val="20"/>
                <w:shd w:val="nil" w:color="auto" w:fill="auto"/>
                <w:rtl w:val="0"/>
                <w:lang w:val="en-US"/>
              </w:rPr>
              <w:t>Single</w:t>
            </w:r>
          </w:p>
        </w:tc>
      </w:tr>
      <w:tr>
        <w:tblPrEx>
          <w:shd w:val="clear" w:color="auto" w:fill="ced7e7"/>
        </w:tblPrEx>
        <w:trPr>
          <w:trHeight w:val="222" w:hRule="atLeast"/>
        </w:trPr>
        <w:tc>
          <w:tcPr>
            <w:tcW w:type="dxa" w:w="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0"/>
                <w:szCs w:val="20"/>
                <w:shd w:val="nil" w:color="auto" w:fill="auto"/>
                <w:rtl w:val="0"/>
                <w:lang w:val="en-US"/>
              </w:rPr>
              <w:t>0.25</w:t>
            </w:r>
          </w:p>
        </w:tc>
        <w:tc>
          <w:tcPr>
            <w:tcW w:type="dxa" w:w="7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0"/>
                <w:szCs w:val="20"/>
                <w:shd w:val="nil" w:color="auto" w:fill="auto"/>
                <w:rtl w:val="0"/>
                <w:lang w:val="en-US"/>
              </w:rPr>
              <w:t>2</w:t>
            </w: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0"/>
              <w:jc w:val="center"/>
            </w:pPr>
            <w:r>
              <w:rPr>
                <w:b w:val="1"/>
                <w:bCs w:val="1"/>
                <w:sz w:val="20"/>
                <w:szCs w:val="20"/>
                <w:shd w:val="nil" w:color="auto" w:fill="auto"/>
                <w:rtl w:val="0"/>
                <w:lang w:val="en-US"/>
              </w:rPr>
              <w:t>32.99</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b w:val="1"/>
                <w:bCs w:val="1"/>
                <w:sz w:val="20"/>
                <w:szCs w:val="20"/>
                <w:shd w:val="nil" w:color="auto" w:fill="auto"/>
                <w:rtl w:val="0"/>
                <w:lang w:val="en-US"/>
              </w:rPr>
              <w:t>37</w:t>
            </w:r>
          </w:p>
        </w:tc>
      </w:tr>
      <w:tr>
        <w:tblPrEx>
          <w:shd w:val="clear" w:color="auto" w:fill="ced7e7"/>
        </w:tblPrEx>
        <w:trPr>
          <w:trHeight w:val="222" w:hRule="atLeast"/>
        </w:trPr>
        <w:tc>
          <w:tcPr>
            <w:tcW w:type="dxa" w:w="56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0"/>
              <w:jc w:val="center"/>
            </w:pPr>
            <w:r>
              <w:rPr>
                <w:sz w:val="20"/>
                <w:szCs w:val="20"/>
                <w:shd w:val="nil" w:color="auto" w:fill="auto"/>
                <w:rtl w:val="0"/>
                <w:lang w:val="en-US"/>
              </w:rPr>
              <w:t>0.10</w:t>
            </w:r>
          </w:p>
        </w:tc>
        <w:tc>
          <w:tcPr>
            <w:tcW w:type="dxa" w:w="7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0"/>
                <w:szCs w:val="20"/>
                <w:shd w:val="nil" w:color="auto" w:fill="auto"/>
                <w:rtl w:val="0"/>
                <w:lang w:val="en-US"/>
              </w:rPr>
              <w:t>2</w:t>
            </w: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0"/>
              <w:jc w:val="center"/>
            </w:pPr>
            <w:r>
              <w:rPr>
                <w:sz w:val="20"/>
                <w:szCs w:val="20"/>
                <w:shd w:val="nil" w:color="auto" w:fill="auto"/>
                <w:rtl w:val="0"/>
                <w:lang w:val="en-US"/>
              </w:rPr>
              <w:t>40.97</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jc w:val="center"/>
            </w:pPr>
            <w:r>
              <w:rPr>
                <w:sz w:val="20"/>
                <w:szCs w:val="20"/>
                <w:shd w:val="nil" w:color="auto" w:fill="auto"/>
                <w:rtl w:val="0"/>
                <w:lang w:val="en-US"/>
              </w:rPr>
              <w:t>60</w:t>
            </w:r>
          </w:p>
        </w:tc>
      </w:tr>
      <w:tr>
        <w:tblPrEx>
          <w:shd w:val="clear" w:color="auto" w:fill="ced7e7"/>
        </w:tblPrEx>
        <w:trPr>
          <w:trHeight w:val="222" w:hRule="atLeast"/>
        </w:trPr>
        <w:tc>
          <w:tcPr>
            <w:tcW w:type="dxa" w:w="56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7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0"/>
                <w:szCs w:val="20"/>
                <w:shd w:val="nil" w:color="auto" w:fill="auto"/>
                <w:rtl w:val="0"/>
                <w:lang w:val="en-US"/>
              </w:rPr>
              <w:t>4</w:t>
            </w: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0"/>
              <w:jc w:val="center"/>
            </w:pPr>
            <w:r>
              <w:rPr>
                <w:sz w:val="20"/>
                <w:szCs w:val="20"/>
                <w:shd w:val="nil" w:color="auto" w:fill="auto"/>
                <w:rtl w:val="0"/>
                <w:lang w:val="en-US"/>
              </w:rPr>
              <w:t>12.98</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jc w:val="center"/>
            </w:pPr>
            <w:r>
              <w:rPr>
                <w:sz w:val="20"/>
                <w:szCs w:val="20"/>
                <w:shd w:val="nil" w:color="auto" w:fill="auto"/>
                <w:rtl w:val="0"/>
                <w:lang w:val="en-US"/>
              </w:rPr>
              <w:t>14</w:t>
            </w:r>
          </w:p>
        </w:tc>
      </w:tr>
      <w:tr>
        <w:tblPrEx>
          <w:shd w:val="clear" w:color="auto" w:fill="ced7e7"/>
        </w:tblPrEx>
        <w:trPr>
          <w:trHeight w:val="222" w:hRule="atLeast"/>
        </w:trPr>
        <w:tc>
          <w:tcPr>
            <w:tcW w:type="dxa" w:w="56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Normal.0"/>
              <w:jc w:val="center"/>
            </w:pPr>
            <w:r>
              <w:rPr>
                <w:sz w:val="20"/>
                <w:szCs w:val="20"/>
                <w:shd w:val="nil" w:color="auto" w:fill="auto"/>
                <w:rtl w:val="0"/>
                <w:lang w:val="en-US"/>
              </w:rPr>
              <w:t>0.05</w:t>
            </w:r>
          </w:p>
        </w:tc>
        <w:tc>
          <w:tcPr>
            <w:tcW w:type="dxa" w:w="7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0"/>
                <w:szCs w:val="20"/>
                <w:shd w:val="nil" w:color="auto" w:fill="auto"/>
                <w:rtl w:val="0"/>
                <w:lang w:val="en-US"/>
              </w:rPr>
              <w:t>2</w:t>
            </w: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0"/>
              <w:jc w:val="center"/>
            </w:pPr>
            <w:r>
              <w:rPr>
                <w:b w:val="1"/>
                <w:bCs w:val="1"/>
                <w:sz w:val="20"/>
                <w:szCs w:val="20"/>
                <w:shd w:val="nil" w:color="auto" w:fill="auto"/>
                <w:rtl w:val="0"/>
                <w:lang w:val="en-US"/>
              </w:rPr>
              <w:t>48.14</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jc w:val="center"/>
            </w:pPr>
            <w:r>
              <w:rPr>
                <w:b w:val="1"/>
                <w:bCs w:val="1"/>
                <w:sz w:val="20"/>
                <w:szCs w:val="20"/>
                <w:shd w:val="nil" w:color="auto" w:fill="auto"/>
                <w:rtl w:val="0"/>
                <w:lang w:val="en-US"/>
              </w:rPr>
              <w:t>78</w:t>
            </w:r>
          </w:p>
        </w:tc>
      </w:tr>
      <w:tr>
        <w:tblPrEx>
          <w:shd w:val="clear" w:color="auto" w:fill="ced7e7"/>
        </w:tblPrEx>
        <w:trPr>
          <w:trHeight w:val="222" w:hRule="atLeast"/>
        </w:trPr>
        <w:tc>
          <w:tcPr>
            <w:tcW w:type="dxa" w:w="56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7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sz w:val="20"/>
                <w:szCs w:val="20"/>
                <w:shd w:val="nil" w:color="auto" w:fill="auto"/>
                <w:rtl w:val="0"/>
                <w:lang w:val="en-US"/>
              </w:rPr>
              <w:t>4</w:t>
            </w: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bottom"/>
          </w:tcPr>
          <w:p>
            <w:pPr>
              <w:pStyle w:val="Normal.0"/>
              <w:jc w:val="center"/>
            </w:pPr>
            <w:r>
              <w:rPr>
                <w:sz w:val="20"/>
                <w:szCs w:val="20"/>
                <w:shd w:val="nil" w:color="auto" w:fill="auto"/>
                <w:rtl w:val="0"/>
                <w:lang w:val="en-US"/>
              </w:rPr>
              <w:t>13.64</w:t>
            </w:r>
          </w:p>
        </w:tc>
        <w:tc>
          <w:tcPr>
            <w:tcW w:type="dxa" w:w="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jc w:val="center"/>
            </w:pPr>
            <w:r>
              <w:rPr>
                <w:sz w:val="20"/>
                <w:szCs w:val="20"/>
                <w:shd w:val="nil" w:color="auto" w:fill="auto"/>
                <w:rtl w:val="0"/>
                <w:lang w:val="en-US"/>
              </w:rPr>
              <w:t>21</w:t>
            </w:r>
          </w:p>
        </w:tc>
      </w:tr>
    </w:tbl>
    <w:p>
      <w:pPr>
        <w:pStyle w:val="Normal.0"/>
        <w:widowControl w:val="0"/>
        <w:spacing w:before="240"/>
        <w:jc w:val="center"/>
        <w:rPr>
          <w:sz w:val="22"/>
          <w:szCs w:val="22"/>
        </w:rPr>
      </w:pPr>
    </w:p>
    <w:p>
      <w:pPr>
        <w:pStyle w:val="Normal.0"/>
        <w:spacing w:before="100" w:after="100"/>
        <w:rPr>
          <w:b w:val="1"/>
          <w:bCs w:val="1"/>
          <w:sz w:val="22"/>
          <w:szCs w:val="22"/>
        </w:rPr>
      </w:pPr>
    </w:p>
    <w:p>
      <w:pPr>
        <w:pStyle w:val="Normal.0"/>
        <w:spacing w:before="100" w:after="100"/>
        <w:rPr>
          <w:b w:val="1"/>
          <w:bCs w:val="1"/>
          <w:sz w:val="22"/>
          <w:szCs w:val="22"/>
        </w:rPr>
      </w:pPr>
      <w:r>
        <w:rPr>
          <w:b w:val="1"/>
          <w:bCs w:val="1"/>
          <w:sz w:val="22"/>
          <w:szCs w:val="22"/>
          <w:rtl w:val="0"/>
          <w:lang w:val="en-US"/>
        </w:rPr>
        <w:t>2 How to cite Previous Work</w:t>
      </w:r>
    </w:p>
    <w:p>
      <w:pPr>
        <w:pStyle w:val="Normal.0"/>
        <w:spacing w:before="100" w:after="100"/>
        <w:jc w:val="both"/>
        <w:rPr>
          <w:b w:val="1"/>
          <w:bCs w:val="1"/>
          <w:sz w:val="22"/>
          <w:szCs w:val="22"/>
        </w:rPr>
      </w:pPr>
      <w:r>
        <w:rPr>
          <w:sz w:val="22"/>
          <w:szCs w:val="22"/>
          <w:rtl w:val="0"/>
          <w:lang w:val="en-US"/>
        </w:rPr>
        <w:t>An example of citation of the work of one only author may be that of Moretti (2003). More than one author produced the article Bechara and Galv</w:t>
      </w:r>
      <w:r>
        <w:rPr>
          <w:sz w:val="22"/>
          <w:szCs w:val="22"/>
          <w:rtl w:val="0"/>
          <w:lang w:val="en-US"/>
        </w:rPr>
        <w:t>ã</w:t>
      </w:r>
      <w:r>
        <w:rPr>
          <w:sz w:val="22"/>
          <w:szCs w:val="22"/>
          <w:rtl w:val="0"/>
          <w:lang w:val="en-US"/>
        </w:rPr>
        <w:t>o (1986). A much longer example with more authors is Maculan et al. (2003). A book frequently cited is Kleinrock (1975). An example of technical report was written by Yanasse (1997).</w:t>
      </w:r>
      <w:r>
        <w:rPr>
          <w:b w:val="1"/>
          <w:bCs w:val="1"/>
          <w:sz w:val="22"/>
          <w:szCs w:val="22"/>
          <w:rtl w:val="0"/>
          <w:lang w:val="en-US"/>
        </w:rPr>
        <w:t xml:space="preserve"> </w:t>
      </w:r>
    </w:p>
    <w:p>
      <w:pPr>
        <w:pStyle w:val="Normal.0"/>
        <w:spacing w:after="120"/>
        <w:rPr>
          <w:sz w:val="22"/>
          <w:szCs w:val="22"/>
        </w:rPr>
      </w:pPr>
      <w:r>
        <w:rPr>
          <w:b w:val="1"/>
          <w:bCs w:val="1"/>
          <w:sz w:val="22"/>
          <w:szCs w:val="22"/>
          <w:rtl w:val="0"/>
          <w:lang w:val="en-US"/>
        </w:rPr>
        <w:t xml:space="preserve">3 Remarks </w:t>
      </w:r>
    </w:p>
    <w:p>
      <w:pPr>
        <w:pStyle w:val="Normal (Web)"/>
        <w:spacing w:before="240" w:after="0"/>
        <w:jc w:val="both"/>
        <w:rPr>
          <w:sz w:val="22"/>
          <w:szCs w:val="22"/>
        </w:rPr>
      </w:pPr>
      <w:r>
        <w:rPr>
          <w:sz w:val="22"/>
          <w:szCs w:val="22"/>
          <w:rtl w:val="0"/>
          <w:lang w:val="en-US"/>
        </w:rPr>
        <w:t>The results must be demonstrated in the article. If they constitute a data set too large to be fully presented in the article, information about where it can be seen must be provided.</w:t>
      </w:r>
    </w:p>
    <w:p>
      <w:pPr>
        <w:pStyle w:val="Normal (Web)"/>
        <w:spacing w:before="240" w:after="0"/>
        <w:jc w:val="both"/>
        <w:rPr>
          <w:sz w:val="22"/>
          <w:szCs w:val="22"/>
        </w:rPr>
      </w:pPr>
      <w:r>
        <w:rPr>
          <w:sz w:val="22"/>
          <w:szCs w:val="22"/>
          <w:rtl w:val="0"/>
          <w:lang w:val="en-US"/>
        </w:rPr>
        <w:t>The contribution of each author to the research reported must be detailed.</w:t>
      </w:r>
    </w:p>
    <w:p>
      <w:pPr>
        <w:pStyle w:val="Normal (Web)"/>
        <w:spacing w:before="240" w:after="0"/>
        <w:jc w:val="both"/>
        <w:rPr>
          <w:sz w:val="22"/>
          <w:szCs w:val="22"/>
        </w:rPr>
      </w:pPr>
      <w:r>
        <w:rPr>
          <w:sz w:val="22"/>
          <w:szCs w:val="22"/>
          <w:rtl w:val="0"/>
          <w:lang w:val="en-US"/>
        </w:rPr>
        <w:t>Any financial source funding the research must have its contribution acknowledged.be Funding</w:t>
      </w:r>
    </w:p>
    <w:p>
      <w:pPr>
        <w:pStyle w:val="Normal (Web)"/>
        <w:spacing w:before="240"/>
        <w:jc w:val="both"/>
        <w:rPr>
          <w:sz w:val="22"/>
          <w:szCs w:val="22"/>
        </w:rPr>
      </w:pPr>
      <w:r>
        <w:rPr>
          <w:sz w:val="22"/>
          <w:szCs w:val="22"/>
          <w:rtl w:val="0"/>
          <w:lang w:val="en-US"/>
        </w:rPr>
        <w:t>Subsections may be created with proper identification, as the following.</w:t>
      </w:r>
    </w:p>
    <w:p>
      <w:pPr>
        <w:pStyle w:val="Normal (Web)"/>
        <w:spacing w:before="240"/>
        <w:jc w:val="both"/>
        <w:rPr>
          <w:sz w:val="22"/>
          <w:szCs w:val="22"/>
        </w:rPr>
      </w:pPr>
      <w:r>
        <w:rPr>
          <w:sz w:val="22"/>
          <w:szCs w:val="22"/>
          <w:rtl w:val="0"/>
          <w:lang w:val="en-US"/>
        </w:rPr>
        <w:t>3.1 Case 1</w:t>
      </w:r>
      <w:r>
        <w:rPr>
          <w:sz w:val="22"/>
          <w:szCs w:val="22"/>
          <w:rtl w:val="0"/>
          <w:lang w:val="en-US"/>
        </w:rPr>
        <w:t>…</w:t>
      </w:r>
    </w:p>
    <w:p>
      <w:pPr>
        <w:pStyle w:val="Normal (Web)"/>
        <w:spacing w:before="240" w:after="0"/>
        <w:jc w:val="both"/>
        <w:rPr>
          <w:sz w:val="22"/>
          <w:szCs w:val="22"/>
        </w:rPr>
      </w:pPr>
      <w:bookmarkStart w:name="_Hlk197163665" w:id="1"/>
      <w:r>
        <w:rPr>
          <w:b w:val="1"/>
          <w:bCs w:val="1"/>
          <w:sz w:val="22"/>
          <w:szCs w:val="22"/>
          <w:rtl w:val="0"/>
          <w:lang w:val="en-US"/>
        </w:rPr>
        <w:t>4</w:t>
      </w:r>
      <w:bookmarkEnd w:id="1"/>
      <w:r>
        <w:rPr>
          <w:sz w:val="22"/>
          <w:szCs w:val="22"/>
          <w:rtl w:val="0"/>
          <w:lang w:val="en-US"/>
        </w:rPr>
        <w:t xml:space="preserve"> </w:t>
      </w:r>
      <w:r>
        <w:rPr>
          <w:b w:val="1"/>
          <w:bCs w:val="1"/>
          <w:sz w:val="22"/>
          <w:szCs w:val="22"/>
          <w:rtl w:val="0"/>
          <w:lang w:val="en-US"/>
        </w:rPr>
        <w:t>Conclusion</w:t>
      </w:r>
    </w:p>
    <w:p>
      <w:pPr>
        <w:pStyle w:val="Normal.0"/>
        <w:spacing w:before="240"/>
        <w:jc w:val="both"/>
        <w:rPr>
          <w:sz w:val="22"/>
          <w:szCs w:val="22"/>
        </w:rPr>
      </w:pPr>
      <w:r>
        <w:rPr>
          <w:sz w:val="22"/>
          <w:szCs w:val="22"/>
          <w:rtl w:val="0"/>
          <w:lang w:val="en-US"/>
        </w:rPr>
        <w:t>A concluding section must be designed to make clear the more important contributions brought by the article.</w:t>
      </w:r>
    </w:p>
    <w:p>
      <w:pPr>
        <w:pStyle w:val="Normal.0"/>
        <w:spacing w:before="240"/>
        <w:jc w:val="both"/>
        <w:rPr>
          <w:sz w:val="22"/>
          <w:szCs w:val="22"/>
        </w:rPr>
      </w:pPr>
      <w:r>
        <w:rPr>
          <w:sz w:val="22"/>
          <w:szCs w:val="22"/>
          <w:rtl w:val="0"/>
          <w:lang w:val="en-US"/>
        </w:rPr>
        <w:t xml:space="preserve">It must be followed by final statements.  </w:t>
      </w:r>
    </w:p>
    <w:p>
      <w:pPr>
        <w:pStyle w:val="Normal.0"/>
        <w:spacing w:before="240"/>
      </w:pPr>
      <w:r>
        <w:rPr>
          <w:b w:val="1"/>
          <w:bCs w:val="1"/>
          <w:rtl w:val="0"/>
          <w:lang w:val="en-US"/>
        </w:rPr>
        <w:t>Author Contributions</w:t>
      </w:r>
      <w:r>
        <w:rPr>
          <w:rtl w:val="0"/>
          <w:lang w:val="en-US"/>
        </w:rPr>
        <w:t>. Conceptualization, First Author; Software, Second Author; Formal analysis, First Author; Investigation, First Author and Second Author; Resources, First Author and Second Author; Data curation, Second Author; Writing</w:t>
      </w:r>
      <w:r>
        <w:rPr>
          <w:rtl w:val="0"/>
          <w:lang w:val="en-US"/>
        </w:rPr>
        <w:t>—</w:t>
      </w:r>
      <w:r>
        <w:rPr>
          <w:rtl w:val="0"/>
          <w:lang w:val="en-US"/>
        </w:rPr>
        <w:t xml:space="preserve">original draft, Second Author; Supervision, First Author; Project administration, First Author. </w:t>
      </w:r>
    </w:p>
    <w:p>
      <w:pPr>
        <w:pStyle w:val="Normal.0"/>
        <w:spacing w:before="240"/>
      </w:pPr>
      <w:r>
        <w:rPr>
          <w:b w:val="1"/>
          <w:bCs w:val="1"/>
          <w:rtl w:val="0"/>
          <w:lang w:val="en-US"/>
        </w:rPr>
        <w:t>Conflicts of Interest.</w:t>
      </w:r>
      <w:r>
        <w:rPr>
          <w:rtl w:val="0"/>
          <w:lang w:val="en-US"/>
        </w:rPr>
        <w:t xml:space="preserve"> The authors declare no conflict of interest.</w:t>
      </w:r>
    </w:p>
    <w:p>
      <w:pPr>
        <w:pStyle w:val="Normal.0"/>
        <w:spacing w:before="240"/>
      </w:pPr>
      <w:r>
        <w:rPr>
          <w:b w:val="1"/>
          <w:bCs w:val="1"/>
          <w:rtl w:val="0"/>
          <w:lang w:val="en-US"/>
        </w:rPr>
        <w:t>Data Availability.</w:t>
      </w:r>
      <w:r>
        <w:rPr>
          <w:rtl w:val="0"/>
          <w:lang w:val="en-US"/>
        </w:rPr>
        <w:t xml:space="preserve"> All data generated or analyzed during this study that are not included in this article can be found in the Repository:... </w:t>
      </w:r>
    </w:p>
    <w:p>
      <w:pPr>
        <w:pStyle w:val="Normal.0"/>
        <w:spacing w:before="240"/>
      </w:pPr>
      <w:r>
        <w:rPr>
          <w:b w:val="1"/>
          <w:bCs w:val="1"/>
          <w:rtl w:val="0"/>
          <w:lang w:val="en-US"/>
        </w:rPr>
        <w:t>Funding.</w:t>
      </w:r>
      <w:r>
        <w:rPr>
          <w:rtl w:val="0"/>
          <w:lang w:val="en-US"/>
        </w:rPr>
        <w:t xml:space="preserve"> This research received no external funding. </w:t>
      </w:r>
    </w:p>
    <w:p>
      <w:pPr>
        <w:pStyle w:val="Normal.0"/>
        <w:spacing w:before="240"/>
        <w:jc w:val="both"/>
        <w:rPr>
          <w:b w:val="1"/>
          <w:bCs w:val="1"/>
          <w:sz w:val="22"/>
          <w:szCs w:val="22"/>
        </w:rPr>
      </w:pPr>
      <w:r>
        <w:rPr>
          <w:b w:val="1"/>
          <w:bCs w:val="1"/>
          <w:sz w:val="22"/>
          <w:szCs w:val="22"/>
          <w:rtl w:val="0"/>
          <w:lang w:val="en-US"/>
        </w:rPr>
        <w:t>References</w:t>
      </w:r>
    </w:p>
    <w:p>
      <w:pPr>
        <w:pStyle w:val="Normal.0"/>
        <w:jc w:val="both"/>
        <w:rPr>
          <w:sz w:val="22"/>
          <w:szCs w:val="22"/>
        </w:rPr>
      </w:pPr>
      <w:r>
        <w:rPr>
          <w:sz w:val="22"/>
          <w:szCs w:val="22"/>
          <w:rtl w:val="0"/>
          <w:lang w:val="en-US"/>
        </w:rPr>
        <w:t>Bechara, J. J. B. and Galv</w:t>
      </w:r>
      <w:r>
        <w:rPr>
          <w:sz w:val="22"/>
          <w:szCs w:val="22"/>
          <w:rtl w:val="0"/>
          <w:lang w:val="en-US"/>
        </w:rPr>
        <w:t>ã</w:t>
      </w:r>
      <w:r>
        <w:rPr>
          <w:sz w:val="22"/>
          <w:szCs w:val="22"/>
          <w:rtl w:val="0"/>
          <w:lang w:val="en-US"/>
        </w:rPr>
        <w:t>o, R. D. (1986). The use of interactive computing for vehicle</w:t>
      </w:r>
    </w:p>
    <w:p>
      <w:pPr>
        <w:pStyle w:val="Normal.0"/>
        <w:jc w:val="both"/>
        <w:rPr>
          <w:sz w:val="22"/>
          <w:szCs w:val="22"/>
        </w:rPr>
      </w:pPr>
      <w:r>
        <w:rPr>
          <w:sz w:val="22"/>
          <w:szCs w:val="22"/>
          <w:rtl w:val="0"/>
          <w:lang w:val="en-US"/>
        </w:rPr>
        <w:t xml:space="preserve">routeing. In </w:t>
      </w:r>
      <w:r>
        <w:rPr>
          <w:i w:val="1"/>
          <w:iCs w:val="1"/>
          <w:sz w:val="22"/>
          <w:szCs w:val="22"/>
          <w:rtl w:val="0"/>
          <w:lang w:val="en-US"/>
        </w:rPr>
        <w:t>Recent Advances in System Modelling and Optimization</w:t>
      </w:r>
      <w:r>
        <w:rPr>
          <w:sz w:val="22"/>
          <w:szCs w:val="22"/>
          <w:rtl w:val="0"/>
          <w:lang w:val="en-US"/>
        </w:rPr>
        <w:t>, 22</w:t>
      </w:r>
      <w:r>
        <w:rPr>
          <w:sz w:val="22"/>
          <w:szCs w:val="22"/>
          <w:rtl w:val="0"/>
          <w:lang w:val="en-US"/>
        </w:rPr>
        <w:t>–</w:t>
      </w:r>
      <w:r>
        <w:rPr>
          <w:sz w:val="22"/>
          <w:szCs w:val="22"/>
          <w:rtl w:val="0"/>
          <w:lang w:val="en-US"/>
        </w:rPr>
        <w:t>32.</w:t>
      </w:r>
    </w:p>
    <w:p>
      <w:pPr>
        <w:pStyle w:val="Normal.0"/>
        <w:jc w:val="both"/>
        <w:rPr>
          <w:sz w:val="22"/>
          <w:szCs w:val="22"/>
        </w:rPr>
      </w:pPr>
      <w:r>
        <w:rPr>
          <w:sz w:val="22"/>
          <w:szCs w:val="22"/>
          <w:rtl w:val="0"/>
          <w:lang w:val="en-US"/>
        </w:rPr>
        <w:t>Springer.</w:t>
      </w:r>
    </w:p>
    <w:p>
      <w:pPr>
        <w:pStyle w:val="Normal.0"/>
        <w:jc w:val="both"/>
        <w:rPr>
          <w:sz w:val="22"/>
          <w:szCs w:val="22"/>
        </w:rPr>
      </w:pPr>
      <w:r>
        <w:rPr>
          <w:sz w:val="22"/>
          <w:szCs w:val="22"/>
          <w:rtl w:val="0"/>
          <w:lang w:val="en-US"/>
        </w:rPr>
        <w:t xml:space="preserve">Kleinrock, L. (1975). </w:t>
      </w:r>
      <w:r>
        <w:rPr>
          <w:i w:val="1"/>
          <w:iCs w:val="1"/>
          <w:sz w:val="22"/>
          <w:szCs w:val="22"/>
          <w:rtl w:val="0"/>
          <w:lang w:val="en-US"/>
        </w:rPr>
        <w:t>Queueing systems: theory</w:t>
      </w:r>
      <w:r>
        <w:rPr>
          <w:sz w:val="22"/>
          <w:szCs w:val="22"/>
          <w:rtl w:val="0"/>
          <w:lang w:val="en-US"/>
        </w:rPr>
        <w:t>. John Wiley.</w:t>
      </w:r>
    </w:p>
    <w:p>
      <w:pPr>
        <w:pStyle w:val="Normal.0"/>
        <w:jc w:val="both"/>
        <w:rPr>
          <w:sz w:val="22"/>
          <w:szCs w:val="22"/>
        </w:rPr>
      </w:pPr>
      <w:r>
        <w:rPr>
          <w:sz w:val="22"/>
          <w:szCs w:val="22"/>
          <w:rtl w:val="0"/>
          <w:lang w:val="en-US"/>
        </w:rPr>
        <w:t>Maculan, N., Plateau, G., and Lisser, A. (2003). Integer linear models with a polynomial</w:t>
      </w:r>
    </w:p>
    <w:p>
      <w:pPr>
        <w:pStyle w:val="Normal.0"/>
        <w:jc w:val="both"/>
        <w:rPr>
          <w:sz w:val="22"/>
          <w:szCs w:val="22"/>
        </w:rPr>
      </w:pPr>
      <w:r>
        <w:rPr>
          <w:sz w:val="22"/>
          <w:szCs w:val="22"/>
          <w:rtl w:val="0"/>
          <w:lang w:val="en-US"/>
        </w:rPr>
        <w:t>number of variables and constraints for some classical combinatorial optimization</w:t>
      </w:r>
    </w:p>
    <w:p>
      <w:pPr>
        <w:pStyle w:val="Normal.0"/>
        <w:jc w:val="both"/>
        <w:rPr>
          <w:sz w:val="22"/>
          <w:szCs w:val="22"/>
          <w:lang w:val="pt-PT"/>
        </w:rPr>
      </w:pPr>
      <w:r>
        <w:rPr>
          <w:sz w:val="22"/>
          <w:szCs w:val="22"/>
          <w:rtl w:val="0"/>
          <w:lang w:val="pt-PT"/>
        </w:rPr>
        <w:t xml:space="preserve">problems. </w:t>
      </w:r>
      <w:r>
        <w:rPr>
          <w:i w:val="1"/>
          <w:iCs w:val="1"/>
          <w:sz w:val="22"/>
          <w:szCs w:val="22"/>
          <w:rtl w:val="0"/>
          <w:lang w:val="pt-PT"/>
        </w:rPr>
        <w:t>Pesquisa Operacional</w:t>
      </w:r>
      <w:r>
        <w:rPr>
          <w:sz w:val="22"/>
          <w:szCs w:val="22"/>
          <w:rtl w:val="0"/>
          <w:lang w:val="pt-PT"/>
        </w:rPr>
        <w:t xml:space="preserve">, </w:t>
      </w:r>
      <w:r>
        <w:rPr>
          <w:b w:val="1"/>
          <w:bCs w:val="1"/>
          <w:sz w:val="22"/>
          <w:szCs w:val="22"/>
          <w:rtl w:val="0"/>
          <w:lang w:val="pt-PT"/>
        </w:rPr>
        <w:t>23</w:t>
      </w:r>
      <w:r>
        <w:rPr>
          <w:sz w:val="22"/>
          <w:szCs w:val="22"/>
          <w:rtl w:val="0"/>
          <w:lang w:val="pt-PT"/>
        </w:rPr>
        <w:t>,161</w:t>
      </w:r>
      <w:r>
        <w:rPr>
          <w:sz w:val="22"/>
          <w:szCs w:val="22"/>
          <w:rtl w:val="0"/>
          <w:lang w:val="pt-PT"/>
        </w:rPr>
        <w:t>–</w:t>
      </w:r>
      <w:r>
        <w:rPr>
          <w:sz w:val="22"/>
          <w:szCs w:val="22"/>
          <w:rtl w:val="0"/>
          <w:lang w:val="pt-PT"/>
        </w:rPr>
        <w:t>168.</w:t>
      </w:r>
    </w:p>
    <w:p>
      <w:pPr>
        <w:pStyle w:val="Normal.0"/>
        <w:jc w:val="both"/>
        <w:rPr>
          <w:b w:val="1"/>
          <w:bCs w:val="1"/>
          <w:sz w:val="22"/>
          <w:szCs w:val="22"/>
        </w:rPr>
      </w:pPr>
      <w:r>
        <w:rPr>
          <w:sz w:val="22"/>
          <w:szCs w:val="22"/>
          <w:rtl w:val="0"/>
          <w:lang w:val="pt-PT"/>
        </w:rPr>
        <w:t xml:space="preserve">Moretti, A. C. (2003). </w:t>
      </w:r>
      <w:r>
        <w:rPr>
          <w:sz w:val="22"/>
          <w:szCs w:val="22"/>
          <w:rtl w:val="0"/>
          <w:lang w:val="en-US"/>
        </w:rPr>
        <w:t xml:space="preserve">A weighted projection centering method. </w:t>
      </w:r>
      <w:r>
        <w:rPr>
          <w:b w:val="1"/>
          <w:bCs w:val="1"/>
          <w:sz w:val="22"/>
          <w:szCs w:val="22"/>
          <w:rtl w:val="0"/>
          <w:lang w:val="en-US"/>
        </w:rPr>
        <w:t>Computational &amp; Applied</w:t>
      </w:r>
    </w:p>
    <w:p>
      <w:pPr>
        <w:pStyle w:val="Normal.0"/>
        <w:jc w:val="both"/>
        <w:rPr>
          <w:sz w:val="22"/>
          <w:szCs w:val="22"/>
        </w:rPr>
      </w:pPr>
      <w:r>
        <w:rPr>
          <w:b w:val="1"/>
          <w:bCs w:val="1"/>
          <w:sz w:val="22"/>
          <w:szCs w:val="22"/>
          <w:rtl w:val="0"/>
          <w:lang w:val="en-US"/>
        </w:rPr>
        <w:t>Mathematics</w:t>
      </w:r>
      <w:r>
        <w:rPr>
          <w:sz w:val="22"/>
          <w:szCs w:val="22"/>
          <w:rtl w:val="0"/>
          <w:lang w:val="en-US"/>
        </w:rPr>
        <w:t xml:space="preserve">, </w:t>
      </w:r>
      <w:r>
        <w:rPr>
          <w:b w:val="1"/>
          <w:bCs w:val="1"/>
          <w:sz w:val="22"/>
          <w:szCs w:val="22"/>
          <w:rtl w:val="0"/>
          <w:lang w:val="en-US"/>
        </w:rPr>
        <w:t xml:space="preserve">22, </w:t>
      </w:r>
      <w:r>
        <w:rPr>
          <w:sz w:val="22"/>
          <w:szCs w:val="22"/>
          <w:rtl w:val="0"/>
          <w:lang w:val="en-US"/>
        </w:rPr>
        <w:t>19</w:t>
      </w:r>
      <w:r>
        <w:rPr>
          <w:sz w:val="22"/>
          <w:szCs w:val="22"/>
          <w:rtl w:val="0"/>
          <w:lang w:val="en-US"/>
        </w:rPr>
        <w:t>–</w:t>
      </w:r>
      <w:r>
        <w:rPr>
          <w:sz w:val="22"/>
          <w:szCs w:val="22"/>
          <w:rtl w:val="0"/>
          <w:lang w:val="en-US"/>
        </w:rPr>
        <w:t>36.</w:t>
      </w:r>
    </w:p>
    <w:p>
      <w:pPr>
        <w:pStyle w:val="Normal.0"/>
        <w:jc w:val="both"/>
        <w:rPr>
          <w:sz w:val="22"/>
          <w:szCs w:val="22"/>
        </w:rPr>
      </w:pPr>
      <w:r>
        <w:rPr>
          <w:sz w:val="22"/>
          <w:szCs w:val="22"/>
          <w:rtl w:val="0"/>
          <w:lang w:val="en-US"/>
        </w:rPr>
        <w:t>Yanasse, H. H. (1997). An exact algorithm for the tree case of the minimization of open</w:t>
      </w:r>
    </w:p>
    <w:p>
      <w:pPr>
        <w:pStyle w:val="Normal.0"/>
        <w:jc w:val="both"/>
      </w:pPr>
      <w:r>
        <w:rPr>
          <w:sz w:val="22"/>
          <w:szCs w:val="22"/>
          <w:rtl w:val="0"/>
          <w:lang w:val="en-US"/>
        </w:rPr>
        <w:t xml:space="preserve">orders problem. </w:t>
      </w:r>
      <w:r>
        <w:rPr>
          <w:b w:val="1"/>
          <w:bCs w:val="1"/>
          <w:sz w:val="22"/>
          <w:szCs w:val="22"/>
          <w:rtl w:val="0"/>
          <w:lang w:val="en-US"/>
        </w:rPr>
        <w:t>Technical report LAC-001/97</w:t>
      </w:r>
      <w:r>
        <w:rPr>
          <w:sz w:val="22"/>
          <w:szCs w:val="22"/>
          <w:rtl w:val="0"/>
          <w:lang w:val="en-US"/>
        </w:rPr>
        <w:t>, INPE.</w:t>
      </w:r>
    </w:p>
    <w:sectPr>
      <w:headerReference w:type="default" r:id="rId10"/>
      <w:footerReference w:type="default" r:id="rId11"/>
      <w:pgSz w:w="11900" w:h="16840" w:orient="portrait"/>
      <w:pgMar w:top="1871" w:right="1644" w:bottom="1418" w:left="181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Math">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Rodapé"/>
      <w:tabs>
        <w:tab w:val="right" w:pos="8422"/>
        <w:tab w:val="clear" w:pos="9026"/>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Rodapé">
    <w:name w:val="Rodapé"/>
    <w:next w:val="Rodapé"/>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22"/>
      <w:szCs w:val="22"/>
    </w:rPr>
  </w:style>
  <w:style w:type="numbering" w:styleId="Estilo Importado 1">
    <w:name w:val="Estilo Importad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